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_GB2312" w:hAnsi="仿宋" w:eastAsia="仿宋_GB2312"/>
          <w:sz w:val="32"/>
          <w:szCs w:val="32"/>
        </w:rPr>
      </w:pPr>
      <w:r>
        <w:rPr>
          <w:rFonts w:ascii="仿宋_GB2312" w:hAnsi="仿宋" w:eastAsia="仿宋_GB2312"/>
          <w:sz w:val="32"/>
          <w:szCs w:val="32"/>
        </w:rPr>
        <w:t>附件</w:t>
      </w:r>
      <w:r>
        <w:rPr>
          <w:rFonts w:hint="eastAsia" w:ascii="仿宋_GB2312" w:hAnsi="仿宋" w:eastAsia="仿宋_GB2312"/>
          <w:sz w:val="32"/>
          <w:szCs w:val="32"/>
        </w:rPr>
        <w:t>：</w:t>
      </w:r>
      <w:r>
        <w:rPr>
          <w:rFonts w:ascii="仿宋_GB2312" w:hAnsi="仿宋" w:eastAsia="仿宋_GB2312"/>
          <w:sz w:val="32"/>
          <w:szCs w:val="32"/>
        </w:rPr>
        <w:t xml:space="preserve"> </w:t>
      </w:r>
    </w:p>
    <w:p>
      <w:pPr>
        <w:spacing w:after="156" w:afterLines="50" w:line="560" w:lineRule="exact"/>
        <w:jc w:val="center"/>
        <w:rPr>
          <w:rFonts w:ascii="方正小标宋简体" w:hAnsi="方正小标宋简体" w:eastAsia="方正小标宋简体"/>
          <w:sz w:val="40"/>
          <w:szCs w:val="40"/>
        </w:rPr>
      </w:pPr>
      <w:bookmarkStart w:id="0" w:name="_Hlk48553848"/>
      <w:r>
        <w:rPr>
          <w:rFonts w:hint="eastAsia" w:ascii="方正小标宋简体" w:hAnsi="方正小标宋简体" w:eastAsia="方正小标宋简体"/>
          <w:sz w:val="40"/>
          <w:szCs w:val="40"/>
        </w:rPr>
        <w:t>中国教育技术协会教育游戏专业委员会游戏化学习研究论文征集说明</w:t>
      </w:r>
    </w:p>
    <w:bookmarkEnd w:id="0"/>
    <w:p>
      <w:pPr>
        <w:spacing w:line="56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多年来，游戏化学习已经成为教育领域普遍关注的研究主题之一</w:t>
      </w:r>
      <w:r>
        <w:rPr>
          <w:rFonts w:hint="eastAsia" w:ascii="仿宋_GB2312" w:hAnsi="宋体" w:eastAsia="仿宋_GB2312"/>
          <w:sz w:val="32"/>
          <w:szCs w:val="32"/>
        </w:rPr>
        <w:t>。</w:t>
      </w:r>
      <w:r>
        <w:rPr>
          <w:rFonts w:ascii="仿宋_GB2312" w:hAnsi="仿宋" w:eastAsia="仿宋_GB2312"/>
          <w:sz w:val="32"/>
          <w:szCs w:val="32"/>
        </w:rPr>
        <w:t>2022</w:t>
      </w:r>
      <w:r>
        <w:rPr>
          <w:rFonts w:hint="eastAsia" w:ascii="仿宋_GB2312" w:hAnsi="仿宋" w:eastAsia="仿宋_GB2312"/>
          <w:sz w:val="32"/>
          <w:szCs w:val="32"/>
        </w:rPr>
        <w:t>年最新发布的义务教育阶段国家课程方案明确了加强学段衔接，注重活动化、游戏化、生活化的学习设计。</w:t>
      </w:r>
      <w:bookmarkStart w:id="1" w:name="_Hlk48555685"/>
      <w:r>
        <w:rPr>
          <w:rFonts w:hint="eastAsia" w:ascii="仿宋_GB2312" w:hAnsi="宋体" w:eastAsia="仿宋_GB2312"/>
          <w:sz w:val="32"/>
          <w:szCs w:val="32"/>
        </w:rPr>
        <w:t>中国教育技术协会教育游戏专业委员会</w:t>
      </w:r>
      <w:bookmarkEnd w:id="1"/>
      <w:r>
        <w:rPr>
          <w:rFonts w:hint="eastAsia" w:ascii="仿宋_GB2312" w:hAnsi="宋体" w:eastAsia="仿宋_GB2312"/>
          <w:sz w:val="32"/>
          <w:szCs w:val="32"/>
        </w:rPr>
        <w:t>现面向各理事、会员单位及全体教育工作者开展游戏化学习研究的论文征集活动。入选论文将由中国教育技术协会教育游戏专业委员会结集，并颁发论文入选论文集的相关证明。</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一、论文主题</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专题一：游戏化学习与学习共同体研究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1.教师游戏化教学素养研究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2.教师游戏化教学设计能力研究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3.游戏化教学课堂组织与管理应用案例研究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4.游戏化学习与德育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5.游戏化学习与情感教育</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6.游戏化学习与现有/未来课堂教学的整合与创新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7.游戏化学习与亲子教育</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专题二：游戏化学习与学习科学</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1.游戏化与认知机制研究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2.游戏化学习分析研究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3.基于教育大数据的游戏化学习过程分析</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专题三：游戏化学习与创新教育理论和实践研究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1.国内外游戏化学习研究的新理论、新技术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2.游戏化学习环境、资源开发与应用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3.游戏化学习与智慧教育的关系探究及应用研究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4.教育游戏设计理论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5.游戏化学习与STEAM教育的关系探究及应用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6.游戏化学习与人工智能编程教育的资源开发研究</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专题四：游戏化学习与新技术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1.基于VR/AR等技术的游戏化学习环境设计应用案例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2.智能机器人与游戏化学习的有机融合趋势分析、应用案例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3.游戏化学习与VR融入教育教学的结合点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4.教育游戏开发技术及应用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5.游戏化学习与人工智能的结合点</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专题五：</w:t>
      </w:r>
      <w:bookmarkStart w:id="2" w:name="_Hlk11043767"/>
      <w:r>
        <w:rPr>
          <w:rFonts w:hint="eastAsia" w:ascii="仿宋_GB2312" w:hAnsi="宋体" w:eastAsia="仿宋_GB2312"/>
          <w:bCs/>
          <w:sz w:val="32"/>
          <w:szCs w:val="32"/>
        </w:rPr>
        <w:t>游戏化课堂教学改革案例</w:t>
      </w:r>
      <w:bookmarkEnd w:id="2"/>
      <w:r>
        <w:rPr>
          <w:rFonts w:hint="eastAsia" w:ascii="仿宋_GB2312" w:hAnsi="宋体" w:eastAsia="仿宋_GB2312"/>
          <w:bCs/>
          <w:sz w:val="32"/>
          <w:szCs w:val="32"/>
        </w:rPr>
        <w:t>（主要面向中小学教师）</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1.</w:t>
      </w:r>
      <w:r>
        <w:rPr>
          <w:rFonts w:hint="eastAsia" w:ascii="仿宋_GB2312" w:hAnsi="宋体" w:eastAsia="仿宋_GB2312"/>
          <w:sz w:val="32"/>
          <w:szCs w:val="32"/>
        </w:rPr>
        <w:t>游戏化教学方法的学科课堂教学案例研究</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2.</w:t>
      </w:r>
      <w:r>
        <w:rPr>
          <w:rFonts w:hint="eastAsia" w:ascii="仿宋_GB2312" w:hAnsi="宋体" w:eastAsia="仿宋_GB2312"/>
          <w:sz w:val="32"/>
          <w:szCs w:val="32"/>
        </w:rPr>
        <w:t>聚焦游戏化教学资源设计与应用的课堂教学案例研究</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3.</w:t>
      </w:r>
      <w:r>
        <w:rPr>
          <w:rFonts w:hint="eastAsia" w:ascii="仿宋_GB2312" w:hAnsi="宋体" w:eastAsia="仿宋_GB2312"/>
          <w:sz w:val="32"/>
          <w:szCs w:val="32"/>
        </w:rPr>
        <w:t>聚焦游戏化评价的课堂教学案例研究</w:t>
      </w:r>
    </w:p>
    <w:p>
      <w:pPr>
        <w:spacing w:line="560" w:lineRule="exact"/>
        <w:ind w:firstLine="640" w:firstLineChars="200"/>
        <w:rPr>
          <w:rFonts w:ascii="仿宋_GB2312" w:hAnsi="宋体" w:eastAsia="仿宋_GB2312"/>
          <w:sz w:val="32"/>
          <w:szCs w:val="32"/>
        </w:rPr>
      </w:pPr>
      <w:r>
        <w:rPr>
          <w:rFonts w:ascii="仿宋_GB2312" w:hAnsi="宋体" w:eastAsia="仿宋_GB2312"/>
          <w:bCs/>
          <w:sz w:val="32"/>
          <w:szCs w:val="32"/>
        </w:rPr>
        <w:t>4.</w:t>
      </w:r>
      <w:r>
        <w:rPr>
          <w:rFonts w:hint="eastAsia" w:ascii="仿宋_GB2312" w:hAnsi="宋体" w:eastAsia="仿宋_GB2312"/>
          <w:sz w:val="32"/>
          <w:szCs w:val="32"/>
        </w:rPr>
        <w:t>聚焦游戏化学习理念融入人工智能、编程、STEAM、创客教育的案例研究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双减背景下，游戏化学习融入课程教学的案例研究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ascii="仿宋_GB2312" w:hAnsi="宋体" w:eastAsia="仿宋_GB2312"/>
          <w:sz w:val="32"/>
          <w:szCs w:val="32"/>
        </w:rPr>
        <w:t>.</w:t>
      </w:r>
      <w:r>
        <w:rPr>
          <w:rFonts w:hint="eastAsia" w:ascii="仿宋_GB2312" w:hAnsi="宋体" w:eastAsia="仿宋_GB2312"/>
          <w:sz w:val="32"/>
          <w:szCs w:val="32"/>
        </w:rPr>
        <w:t>幼小衔接中的游戏化学习设计</w:t>
      </w:r>
    </w:p>
    <w:p>
      <w:pPr>
        <w:spacing w:line="560" w:lineRule="exact"/>
        <w:ind w:firstLine="640" w:firstLineChars="200"/>
        <w:rPr>
          <w:rFonts w:ascii="仿宋_GB2312" w:hAnsi="宋体" w:eastAsia="仿宋_GB2312"/>
          <w:bCs/>
          <w:sz w:val="32"/>
          <w:szCs w:val="32"/>
        </w:rPr>
      </w:pPr>
      <w:r>
        <w:rPr>
          <w:rFonts w:ascii="仿宋_GB2312" w:hAnsi="宋体" w:eastAsia="仿宋_GB2312"/>
          <w:bCs/>
          <w:sz w:val="32"/>
          <w:szCs w:val="32"/>
        </w:rPr>
        <w:t>7.</w:t>
      </w:r>
      <w:r>
        <w:rPr>
          <w:rFonts w:hint="eastAsia" w:ascii="仿宋_GB2312" w:hAnsi="宋体" w:eastAsia="仿宋_GB2312"/>
          <w:sz w:val="32"/>
          <w:szCs w:val="32"/>
        </w:rPr>
        <w:t>不限于以上主题的各类游戏化课堂教学改革的案例和相关研究</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二、提交时间及方式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论文提交截止时间：</w:t>
      </w:r>
      <w:r>
        <w:rPr>
          <w:rFonts w:ascii="仿宋_GB2312" w:hAnsi="宋体" w:eastAsia="仿宋_GB2312"/>
          <w:sz w:val="32"/>
          <w:szCs w:val="32"/>
        </w:rPr>
        <w:t>2024</w:t>
      </w:r>
      <w:r>
        <w:rPr>
          <w:rFonts w:hint="eastAsia" w:ascii="仿宋_GB2312" w:hAnsi="宋体" w:eastAsia="仿宋_GB2312"/>
          <w:sz w:val="32"/>
          <w:szCs w:val="32"/>
        </w:rPr>
        <w:t>年</w:t>
      </w:r>
      <w:r>
        <w:rPr>
          <w:rFonts w:ascii="仿宋_GB2312" w:hAnsi="宋体" w:eastAsia="仿宋_GB2312"/>
          <w:sz w:val="32"/>
          <w:szCs w:val="32"/>
        </w:rPr>
        <w:t>2</w:t>
      </w:r>
      <w:r>
        <w:rPr>
          <w:rFonts w:hint="eastAsia" w:ascii="仿宋_GB2312" w:hAnsi="宋体" w:eastAsia="仿宋_GB2312"/>
          <w:sz w:val="32"/>
          <w:szCs w:val="32"/>
        </w:rPr>
        <w:t>月</w:t>
      </w:r>
      <w:r>
        <w:rPr>
          <w:rFonts w:ascii="仿宋_GB2312" w:hAnsi="宋体" w:eastAsia="仿宋_GB2312"/>
          <w:sz w:val="32"/>
          <w:szCs w:val="32"/>
        </w:rPr>
        <w:t>20</w:t>
      </w:r>
      <w:r>
        <w:rPr>
          <w:rFonts w:hint="eastAsia" w:ascii="仿宋_GB2312" w:hAnsi="宋体" w:eastAsia="仿宋_GB2312"/>
          <w:sz w:val="32"/>
          <w:szCs w:val="32"/>
        </w:rPr>
        <w:t>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论文入选</w:t>
      </w:r>
      <w:r>
        <w:rPr>
          <w:rFonts w:ascii="仿宋_GB2312" w:hAnsi="宋体" w:eastAsia="仿宋_GB2312"/>
          <w:sz w:val="32"/>
          <w:szCs w:val="32"/>
        </w:rPr>
        <w:t>通知时间</w:t>
      </w:r>
      <w:r>
        <w:rPr>
          <w:rFonts w:hint="eastAsia" w:ascii="仿宋_GB2312" w:hAnsi="宋体" w:eastAsia="仿宋_GB2312"/>
          <w:sz w:val="32"/>
          <w:szCs w:val="32"/>
        </w:rPr>
        <w:t>：</w:t>
      </w:r>
      <w:r>
        <w:rPr>
          <w:rFonts w:ascii="仿宋_GB2312" w:hAnsi="宋体" w:eastAsia="仿宋_GB2312"/>
          <w:sz w:val="32"/>
          <w:szCs w:val="32"/>
        </w:rPr>
        <w:t>2024</w:t>
      </w:r>
      <w:r>
        <w:rPr>
          <w:rFonts w:hint="eastAsia" w:ascii="仿宋_GB2312" w:hAnsi="宋体" w:eastAsia="仿宋_GB2312"/>
          <w:sz w:val="32"/>
          <w:szCs w:val="32"/>
        </w:rPr>
        <w:t>年</w:t>
      </w:r>
      <w:r>
        <w:rPr>
          <w:rFonts w:ascii="仿宋_GB2312" w:hAnsi="宋体" w:eastAsia="仿宋_GB2312"/>
          <w:sz w:val="32"/>
          <w:szCs w:val="32"/>
        </w:rPr>
        <w:t>3</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论文结集与网络展示时间：</w:t>
      </w:r>
      <w:r>
        <w:rPr>
          <w:rFonts w:ascii="仿宋_GB2312" w:hAnsi="宋体" w:eastAsia="仿宋_GB2312"/>
          <w:sz w:val="32"/>
          <w:szCs w:val="32"/>
        </w:rPr>
        <w:t>2024年3月31日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稿件基本要求：本次必须是尚未正式发表的研究成果；论文格式规范、论点明确、数据可靠、文字简练、图文表清晰</w:t>
      </w:r>
      <w:r>
        <w:rPr>
          <w:rFonts w:ascii="仿宋_GB2312" w:hAnsi="宋体" w:eastAsia="仿宋_GB2312"/>
          <w:sz w:val="32"/>
          <w:szCs w:val="32"/>
        </w:rPr>
        <w:t>。</w:t>
      </w:r>
      <w:r>
        <w:rPr>
          <w:rFonts w:hint="eastAsia" w:ascii="仿宋_GB2312" w:hAnsi="宋体" w:eastAsia="仿宋_GB2312"/>
          <w:sz w:val="32"/>
          <w:szCs w:val="32"/>
        </w:rPr>
        <w:t>字数不少于3</w:t>
      </w:r>
      <w:r>
        <w:rPr>
          <w:rFonts w:ascii="仿宋_GB2312" w:hAnsi="宋体" w:eastAsia="仿宋_GB2312"/>
          <w:sz w:val="32"/>
          <w:szCs w:val="32"/>
        </w:rPr>
        <w:t>000</w:t>
      </w:r>
      <w:r>
        <w:rPr>
          <w:rFonts w:hint="eastAsia" w:ascii="仿宋_GB2312" w:hAnsi="宋体" w:eastAsia="仿宋_GB2312"/>
          <w:sz w:val="32"/>
          <w:szCs w:val="32"/>
        </w:rPr>
        <w:t>字（含图表）。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备注：论文</w:t>
      </w:r>
      <w:r>
        <w:rPr>
          <w:rFonts w:ascii="仿宋_GB2312" w:hAnsi="宋体" w:eastAsia="仿宋_GB2312"/>
          <w:sz w:val="32"/>
          <w:szCs w:val="32"/>
        </w:rPr>
        <w:t>格式请按照附件要求的格式进行排版</w:t>
      </w:r>
      <w:r>
        <w:rPr>
          <w:rFonts w:hint="eastAsia" w:ascii="仿宋_GB2312" w:hAnsi="宋体" w:eastAsia="仿宋_GB2312"/>
          <w:sz w:val="32"/>
          <w:szCs w:val="32"/>
        </w:rPr>
        <w:t>（论文格式模板请到会议网站下载）。</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稿件提交方式：论文提交至专委会官方网站（网址：</w:t>
      </w:r>
      <w:bookmarkStart w:id="3" w:name="_Hlk48555852"/>
      <w:r>
        <w:fldChar w:fldCharType="begin"/>
      </w:r>
      <w:r>
        <w:instrText xml:space="preserve"> HYPERLINK "http://www.icgbl.org/" </w:instrText>
      </w:r>
      <w:r>
        <w:fldChar w:fldCharType="separate"/>
      </w:r>
      <w:r>
        <w:rPr>
          <w:rFonts w:ascii="仿宋_GB2312" w:hAnsi="宋体" w:eastAsia="仿宋_GB2312"/>
          <w:sz w:val="32"/>
          <w:szCs w:val="32"/>
        </w:rPr>
        <w:t>http://www.icgbl.org/</w:t>
      </w:r>
      <w:r>
        <w:rPr>
          <w:rFonts w:ascii="仿宋_GB2312" w:hAnsi="宋体" w:eastAsia="仿宋_GB2312"/>
          <w:sz w:val="32"/>
          <w:szCs w:val="32"/>
        </w:rPr>
        <w:fldChar w:fldCharType="end"/>
      </w:r>
      <w:bookmarkEnd w:id="3"/>
      <w:r>
        <w:rPr>
          <w:rFonts w:hint="eastAsia" w:ascii="仿宋_GB2312" w:hAnsi="宋体" w:eastAsia="仿宋_GB2312"/>
          <w:sz w:val="32"/>
          <w:szCs w:val="32"/>
        </w:rPr>
        <w:t>）</w:t>
      </w:r>
    </w:p>
    <w:p>
      <w:pPr>
        <w:spacing w:line="56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6</w:t>
      </w:r>
      <w:r>
        <w:rPr>
          <w:rFonts w:ascii="仿宋_GB2312" w:hAnsi="仿宋_GB2312" w:eastAsia="仿宋_GB2312"/>
          <w:bCs/>
          <w:sz w:val="32"/>
          <w:szCs w:val="32"/>
        </w:rPr>
        <w:t>.</w:t>
      </w:r>
      <w:r>
        <w:rPr>
          <w:rFonts w:hint="eastAsia" w:ascii="仿宋_GB2312" w:hAnsi="仿宋_GB2312" w:eastAsia="仿宋_GB2312"/>
          <w:bCs/>
          <w:sz w:val="32"/>
          <w:szCs w:val="32"/>
        </w:rPr>
        <w:t>征集活动咨询</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联系人：霍老师  </w:t>
      </w:r>
      <w:r>
        <w:rPr>
          <w:rFonts w:ascii="仿宋_GB2312" w:hAnsi="宋体" w:eastAsia="仿宋_GB2312"/>
          <w:bCs/>
          <w:sz w:val="32"/>
          <w:szCs w:val="32"/>
        </w:rPr>
        <w:t xml:space="preserve"> </w:t>
      </w:r>
    </w:p>
    <w:p>
      <w:pPr>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邮箱</w:t>
      </w:r>
      <w:r>
        <w:rPr>
          <w:rFonts w:ascii="仿宋_GB2312" w:hAnsi="宋体" w:eastAsia="仿宋_GB2312"/>
          <w:bCs/>
          <w:sz w:val="32"/>
          <w:szCs w:val="32"/>
        </w:rPr>
        <w:t>：jyyxzwh@163.co</w:t>
      </w:r>
      <w:r>
        <w:rPr>
          <w:rFonts w:hint="eastAsia" w:ascii="仿宋_GB2312" w:hAnsi="宋体" w:eastAsia="仿宋_GB2312"/>
          <w:bCs/>
          <w:sz w:val="32"/>
          <w:szCs w:val="32"/>
        </w:rPr>
        <w:t>m</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mIwNGY0MTZmOWVmMGE4MDMzNDA1OWEwMjE4MjYifQ=="/>
  </w:docVars>
  <w:rsids>
    <w:rsidRoot w:val="436B6A24"/>
    <w:rsid w:val="436B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2024-01-29T09:55:00Z</dcterms:created>
  <dc:creator>   心殇</dc:creator>
  <cp:lastModifiedBy>   心殇</cp:lastModifiedBy>
  <dcterms:modified xsi:type="dcterms:W3CDTF">2024-01-29T09:56:53Z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6B3BB5E798DF458B9D93E6A6809F2F5D_11</vt:lpwstr>
  </property>
</Properties>
</file>